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both"/>
        <w:textAlignment w:val="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附件3-8</w:t>
      </w:r>
      <w:bookmarkStart w:id="0" w:name="_GoBack"/>
      <w:bookmarkEnd w:id="0"/>
    </w:p>
    <w:p>
      <w:pPr>
        <w:pStyle w:val="2"/>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2026年省级林木种苗培育补助</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预算申报指南</w:t>
      </w: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方正小标宋简体" w:hAnsi="方正小标宋简体" w:eastAsia="方正小标宋简体" w:cs="方正小标宋简体"/>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方正仿宋_GB2312" w:hAnsi="方正仿宋_GB2312" w:eastAsia="方正仿宋_GB2312" w:cs="方正仿宋_GB2312"/>
          <w:sz w:val="32"/>
          <w:szCs w:val="32"/>
          <w:highlight w:val="none"/>
          <w:lang w:val="en-US" w:eastAsia="zh-CN"/>
        </w:rPr>
      </w:pPr>
      <w:r>
        <w:rPr>
          <w:rFonts w:hint="eastAsia" w:ascii="黑体" w:hAnsi="黑体" w:eastAsia="黑体" w:cs="黑体"/>
          <w:sz w:val="32"/>
          <w:szCs w:val="32"/>
          <w:highlight w:val="none"/>
          <w:lang w:val="en-US" w:eastAsia="zh-CN"/>
        </w:rPr>
        <w:t>一、项目支持范围</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结合</w:t>
      </w:r>
      <w:r>
        <w:rPr>
          <w:rFonts w:hint="eastAsia" w:ascii="仿宋_GB2312" w:hAnsi="仿宋_GB2312" w:eastAsia="仿宋_GB2312" w:cs="仿宋_GB2312"/>
          <w:bCs/>
          <w:color w:val="000000"/>
          <w:kern w:val="0"/>
          <w:sz w:val="32"/>
          <w:szCs w:val="32"/>
          <w:highlight w:val="none"/>
          <w:lang w:eastAsia="zh-CN"/>
        </w:rPr>
        <w:t>中央、省委省政府重大决策部署、国家林草局以及我局重点工作任务安排，重点支持各地</w:t>
      </w:r>
      <w:r>
        <w:rPr>
          <w:rFonts w:hint="eastAsia" w:ascii="仿宋_GB2312" w:hAnsi="仿宋_GB2312" w:eastAsia="仿宋_GB2312" w:cs="仿宋_GB2312"/>
          <w:bCs/>
          <w:color w:val="000000"/>
          <w:kern w:val="0"/>
          <w:sz w:val="32"/>
          <w:szCs w:val="32"/>
          <w:highlight w:val="none"/>
          <w:lang w:val="en-US" w:eastAsia="zh-CN"/>
        </w:rPr>
        <w:t>良种苗木培育以及重点产业树种和树种结构调整所需的珍贵乡土树种。</w:t>
      </w:r>
      <w:r>
        <w:rPr>
          <w:rFonts w:hint="eastAsia" w:ascii="仿宋_GB2312" w:hAnsi="仿宋_GB2312" w:eastAsia="仿宋_GB2312" w:cs="仿宋_GB2312"/>
          <w:sz w:val="32"/>
          <w:szCs w:val="32"/>
          <w:highlight w:val="none"/>
          <w:lang w:val="en-US" w:eastAsia="zh-CN"/>
        </w:rPr>
        <w:t>推动落实种业发展规划任务。围绕重点树种，合理安排育种研究、种质资源库、良种基地等种苗基础项目。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林木种苗培育补助项目主要用于种苗生产类、保护研究类、质量监督管理类等方向。一是种苗生产类，包括保障性苗木培育、乡土树种种子收储、林木良种基地建设。二是保护研究类，包括林草种质资源库建设、种质资源调查收集、</w:t>
      </w:r>
      <w:r>
        <w:rPr>
          <w:rFonts w:hint="eastAsia" w:ascii="仿宋_GB2312" w:hAnsi="仿宋_GB2312" w:eastAsia="仿宋_GB2312" w:cs="仿宋_GB2312"/>
          <w:bCs/>
          <w:sz w:val="32"/>
          <w:szCs w:val="32"/>
          <w:highlight w:val="none"/>
          <w:lang w:eastAsia="zh-CN"/>
        </w:rPr>
        <w:t>品种选育。三是</w:t>
      </w:r>
      <w:r>
        <w:rPr>
          <w:rFonts w:hint="eastAsia" w:ascii="仿宋_GB2312" w:hAnsi="仿宋_GB2312" w:eastAsia="仿宋_GB2312" w:cs="仿宋_GB2312"/>
          <w:sz w:val="32"/>
          <w:szCs w:val="32"/>
          <w:highlight w:val="none"/>
          <w:lang w:val="en-US" w:eastAsia="zh-CN"/>
        </w:rPr>
        <w:t>质量监督管理类，包括全省种苗质量抽查、品种鉴定技术开发、制定苗木标准等。重点支持集体林业大县开展种苗生产。</w:t>
      </w: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 xml:space="preserve">    </w:t>
      </w:r>
      <w:r>
        <w:rPr>
          <w:rFonts w:hint="eastAsia" w:ascii="黑体" w:hAnsi="黑体" w:eastAsia="黑体" w:cs="黑体"/>
          <w:sz w:val="32"/>
          <w:szCs w:val="32"/>
          <w:highlight w:val="none"/>
          <w:lang w:val="en-US" w:eastAsia="zh-CN"/>
        </w:rPr>
        <w:t>二、项目申报主体</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方正仿宋_GB2312" w:hAnsi="方正仿宋_GB2312" w:eastAsia="方正仿宋_GB2312" w:cs="方正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市县林业主管部门、符合申报条件的企业（保障性苗圃）、省级种质资源库、国有林场、科研院所、大中专院校、省林业局直属单位。</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left="640" w:leftChars="0" w:firstLine="0" w:firstLineChars="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申报条件及要求</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left="640" w:left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（一）种苗生产类</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保障性苗木培育项目。申报主体为</w:t>
      </w:r>
      <w:r>
        <w:rPr>
          <w:rFonts w:hint="eastAsia" w:ascii="仿宋_GB2312" w:hAnsi="仿宋_GB2312" w:eastAsia="仿宋_GB2312" w:cs="仿宋_GB2312"/>
          <w:b w:val="0"/>
          <w:bCs w:val="0"/>
          <w:kern w:val="2"/>
          <w:sz w:val="32"/>
          <w:szCs w:val="32"/>
          <w:highlight w:val="none"/>
          <w:lang w:val="en-US" w:eastAsia="zh-CN" w:bidi="ar-SA"/>
        </w:rPr>
        <w:t>2023年1月印发的《省林业局关于公布贵州省省级林业保障性苗圃名单的通知》中公布的69家保障性苗圃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乡土树种种子收储项目。从本市州优良母树或林分进行采种、调制、检验、贮藏，收储的种子省内无偿调配使用。树种符合本市州树种结构调整、森林质量精准提升等需求，以珍贵用材树种和产业树种为主，申报对象为市州林业主管部门及省林业局直属单位。</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林木良种基地包括采穗圃和种子园的新建或抚育管护。采穗圃针对无性繁殖技术成熟的树种，种子园适用于种子繁殖的树种，须有经选优评价的优良材料。申报对象为各级林业主管部门。</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（二）保护研究类</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林草种质资源库建设项目，支持新建和已有资源库的抚育管护改扩建及资源评价鉴定、开发利用研究等。其中新建资源库要求已收集了50份以上种质资源，土地性质须为国有。鼓励科研机构结合</w:t>
      </w:r>
      <w:r>
        <w:rPr>
          <w:rFonts w:hint="default" w:ascii="仿宋_GB2312" w:hAnsi="仿宋_GB2312" w:eastAsia="仿宋_GB2312" w:cs="仿宋_GB2312"/>
          <w:sz w:val="32"/>
          <w:szCs w:val="32"/>
          <w:highlight w:val="none"/>
          <w:lang w:val="en-US" w:eastAsia="zh-CN"/>
        </w:rPr>
        <w:t>省级以上林草</w:t>
      </w:r>
      <w:r>
        <w:rPr>
          <w:rFonts w:hint="eastAsia" w:ascii="仿宋_GB2312" w:hAnsi="仿宋_GB2312" w:eastAsia="仿宋_GB2312" w:cs="仿宋_GB2312"/>
          <w:sz w:val="32"/>
          <w:szCs w:val="32"/>
          <w:highlight w:val="none"/>
          <w:lang w:val="en-US" w:eastAsia="zh-CN"/>
        </w:rPr>
        <w:t>种质资源库建设需求进行申报。二</w:t>
      </w:r>
      <w:r>
        <w:rPr>
          <w:rFonts w:hint="eastAsia" w:ascii="仿宋_GB2312" w:hAnsi="仿宋_GB2312" w:eastAsia="仿宋_GB2312" w:cs="仿宋_GB2312"/>
          <w:b/>
          <w:bCs/>
          <w:sz w:val="32"/>
          <w:szCs w:val="32"/>
          <w:highlight w:val="none"/>
          <w:lang w:val="en-US" w:eastAsia="zh-CN"/>
        </w:rPr>
        <w:t>是</w:t>
      </w:r>
      <w:r>
        <w:rPr>
          <w:rFonts w:hint="eastAsia" w:ascii="仿宋_GB2312" w:hAnsi="仿宋_GB2312" w:eastAsia="仿宋_GB2312" w:cs="仿宋_GB2312"/>
          <w:sz w:val="32"/>
          <w:szCs w:val="32"/>
          <w:highlight w:val="none"/>
          <w:lang w:val="en-US" w:eastAsia="zh-CN"/>
        </w:rPr>
        <w:t>种质资源调查收集项目。</w:t>
      </w:r>
      <w:r>
        <w:rPr>
          <w:rFonts w:hint="default" w:ascii="仿宋_GB2312" w:hAnsi="仿宋_GB2312" w:eastAsia="仿宋_GB2312" w:cs="仿宋_GB2312"/>
          <w:sz w:val="32"/>
          <w:szCs w:val="32"/>
          <w:highlight w:val="none"/>
          <w:lang w:val="en-US" w:eastAsia="zh-CN"/>
        </w:rPr>
        <w:t>重点对已经调查收集到的种质资源进行扩繁</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树种符合《贵州省林草种质资源调查收集保存实施方案（2023-2026年）》，</w:t>
      </w:r>
      <w:r>
        <w:rPr>
          <w:rFonts w:hint="eastAsia" w:ascii="仿宋_GB2312" w:hAnsi="仿宋_GB2312" w:eastAsia="仿宋_GB2312" w:cs="仿宋_GB2312"/>
          <w:sz w:val="32"/>
          <w:szCs w:val="32"/>
          <w:highlight w:val="none"/>
          <w:lang w:val="en-US" w:eastAsia="zh-CN"/>
        </w:rPr>
        <w:t>申报对象为省级以上林草种质资源库、科研院所、大中专院校等。三</w:t>
      </w:r>
      <w:r>
        <w:rPr>
          <w:rFonts w:hint="eastAsia" w:ascii="仿宋_GB2312" w:hAnsi="仿宋_GB2312" w:eastAsia="仿宋_GB2312" w:cs="仿宋_GB2312"/>
          <w:b/>
          <w:bCs/>
          <w:sz w:val="32"/>
          <w:szCs w:val="32"/>
          <w:highlight w:val="none"/>
          <w:lang w:val="en-US" w:eastAsia="zh-CN"/>
        </w:rPr>
        <w:t>是</w:t>
      </w:r>
      <w:r>
        <w:rPr>
          <w:rFonts w:hint="eastAsia" w:ascii="仿宋_GB2312" w:hAnsi="仿宋_GB2312" w:eastAsia="仿宋_GB2312" w:cs="仿宋_GB2312"/>
          <w:sz w:val="32"/>
          <w:szCs w:val="32"/>
          <w:highlight w:val="none"/>
          <w:lang w:val="en-US" w:eastAsia="zh-CN"/>
        </w:rPr>
        <w:t>品种选育项目。支持</w:t>
      </w:r>
      <w:r>
        <w:rPr>
          <w:rFonts w:hint="default" w:ascii="仿宋_GB2312" w:hAnsi="仿宋_GB2312" w:eastAsia="仿宋_GB2312" w:cs="仿宋_GB2312"/>
          <w:sz w:val="32"/>
          <w:szCs w:val="32"/>
          <w:highlight w:val="none"/>
          <w:lang w:val="en-US" w:eastAsia="zh-CN"/>
        </w:rPr>
        <w:t>林木育种技术研究，</w:t>
      </w:r>
      <w:r>
        <w:rPr>
          <w:rFonts w:hint="eastAsia" w:ascii="仿宋_GB2312" w:hAnsi="仿宋_GB2312" w:eastAsia="仿宋_GB2312" w:cs="仿宋_GB2312"/>
          <w:sz w:val="32"/>
          <w:szCs w:val="32"/>
          <w:highlight w:val="none"/>
          <w:lang w:val="en-US" w:eastAsia="zh-CN"/>
        </w:rPr>
        <w:t>试验林营建，良种良法示范推广，无性繁殖技术研发等，符合《贵州林草种业发展规划（2022-2030年》以及生产中亟须种业攻关的树种草种等，申报对象为科研院所、大中专院校等公益性研究机构，鼓励科研机构结合</w:t>
      </w:r>
      <w:r>
        <w:rPr>
          <w:rFonts w:hint="default" w:ascii="仿宋_GB2312" w:hAnsi="仿宋_GB2312" w:eastAsia="仿宋_GB2312" w:cs="仿宋_GB2312"/>
          <w:sz w:val="32"/>
          <w:szCs w:val="32"/>
          <w:highlight w:val="none"/>
          <w:lang w:val="en-US" w:eastAsia="zh-CN"/>
        </w:rPr>
        <w:t>省级以上林木</w:t>
      </w:r>
      <w:r>
        <w:rPr>
          <w:rFonts w:hint="eastAsia" w:ascii="仿宋_GB2312" w:hAnsi="仿宋_GB2312" w:eastAsia="仿宋_GB2312" w:cs="仿宋_GB2312"/>
          <w:sz w:val="32"/>
          <w:szCs w:val="32"/>
          <w:highlight w:val="none"/>
          <w:lang w:val="en-US" w:eastAsia="zh-CN"/>
        </w:rPr>
        <w:t>良种基地发展需求申报。</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（三）质量监督管理类</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全省</w:t>
      </w:r>
      <w:r>
        <w:rPr>
          <w:rFonts w:hint="default" w:ascii="仿宋_GB2312" w:hAnsi="仿宋_GB2312" w:eastAsia="仿宋_GB2312" w:cs="仿宋_GB2312"/>
          <w:sz w:val="32"/>
          <w:szCs w:val="32"/>
          <w:highlight w:val="none"/>
          <w:lang w:val="en-US" w:eastAsia="zh-CN"/>
        </w:rPr>
        <w:t>林木</w:t>
      </w:r>
      <w:r>
        <w:rPr>
          <w:rFonts w:hint="eastAsia" w:ascii="仿宋_GB2312" w:hAnsi="仿宋_GB2312" w:eastAsia="仿宋_GB2312" w:cs="仿宋_GB2312"/>
          <w:sz w:val="32"/>
          <w:szCs w:val="32"/>
          <w:highlight w:val="none"/>
          <w:lang w:val="en-US" w:eastAsia="zh-CN"/>
        </w:rPr>
        <w:t>种苗质量抽查、品种鉴定技术开发、制定苗木标准等，申报主体须具有</w:t>
      </w:r>
      <w:r>
        <w:rPr>
          <w:rFonts w:hint="eastAsia" w:ascii="仿宋_GB2312" w:hAnsi="仿宋_GB2312" w:eastAsia="仿宋_GB2312" w:cs="仿宋_GB2312"/>
          <w:color w:val="auto"/>
          <w:sz w:val="32"/>
          <w:szCs w:val="32"/>
          <w:highlight w:val="none"/>
        </w:rPr>
        <w:t>林木种苗质量监督检验</w:t>
      </w:r>
      <w:r>
        <w:rPr>
          <w:rFonts w:hint="eastAsia" w:ascii="仿宋_GB2312" w:hAnsi="仿宋_GB2312" w:eastAsia="仿宋_GB2312" w:cs="仿宋_GB2312"/>
          <w:color w:val="auto"/>
          <w:sz w:val="32"/>
          <w:szCs w:val="32"/>
          <w:highlight w:val="none"/>
          <w:lang w:eastAsia="zh-CN"/>
        </w:rPr>
        <w:t>资质。</w:t>
      </w:r>
    </w:p>
    <w:p>
      <w:pPr>
        <w:keepNext w:val="0"/>
        <w:keepLines w:val="0"/>
        <w:pageBreakBefore w:val="0"/>
        <w:widowControl w:val="0"/>
        <w:numPr>
          <w:ilvl w:val="0"/>
          <w:numId w:val="2"/>
        </w:numPr>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补助方式及标准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sz w:val="32"/>
          <w:szCs w:val="32"/>
          <w:highlight w:val="none"/>
          <w:lang w:val="en-US" w:eastAsia="zh-CN"/>
        </w:rPr>
        <w:t>《贵州省林业局部门整体项目支出预算标准体系（试行）》明确的</w:t>
      </w:r>
      <w:r>
        <w:rPr>
          <w:rFonts w:hint="default" w:ascii="仿宋_GB2312" w:hAnsi="仿宋_GB2312" w:eastAsia="仿宋_GB2312" w:cs="仿宋_GB2312"/>
          <w:sz w:val="32"/>
          <w:szCs w:val="32"/>
          <w:highlight w:val="none"/>
          <w:lang w:val="en-US" w:eastAsia="zh-CN"/>
        </w:rPr>
        <w:t>指标，按照项目建设的实际需求进行</w:t>
      </w:r>
      <w:r>
        <w:rPr>
          <w:rFonts w:hint="eastAsia" w:ascii="仿宋_GB2312" w:hAnsi="仿宋_GB2312" w:eastAsia="仿宋_GB2312" w:cs="仿宋_GB2312"/>
          <w:sz w:val="32"/>
          <w:szCs w:val="32"/>
          <w:highlight w:val="none"/>
          <w:lang w:val="en-US" w:eastAsia="zh-CN"/>
        </w:rPr>
        <w:t>申报</w:t>
      </w:r>
      <w:r>
        <w:rPr>
          <w:rFonts w:hint="default" w:ascii="仿宋_GB2312" w:hAnsi="仿宋_GB2312" w:eastAsia="仿宋_GB2312" w:cs="仿宋_GB2312"/>
          <w:sz w:val="32"/>
          <w:szCs w:val="32"/>
          <w:highlight w:val="none"/>
          <w:lang w:val="en-US" w:eastAsia="zh-CN"/>
        </w:rPr>
        <w:t>测</w:t>
      </w:r>
      <w:r>
        <w:rPr>
          <w:rFonts w:hint="eastAsia" w:ascii="仿宋_GB2312" w:hAnsi="仿宋_GB2312" w:eastAsia="仿宋_GB2312" w:cs="仿宋_GB2312"/>
          <w:sz w:val="32"/>
          <w:szCs w:val="32"/>
          <w:highlight w:val="none"/>
          <w:lang w:val="en-US" w:eastAsia="zh-CN"/>
        </w:rPr>
        <w:t>算，</w:t>
      </w:r>
      <w:r>
        <w:rPr>
          <w:rFonts w:hint="default" w:ascii="仿宋_GB2312" w:hAnsi="仿宋_GB2312" w:eastAsia="仿宋_GB2312" w:cs="仿宋_GB2312"/>
          <w:sz w:val="32"/>
          <w:szCs w:val="32"/>
          <w:highlight w:val="none"/>
          <w:lang w:val="en-US" w:eastAsia="zh-CN"/>
        </w:rPr>
        <w:t>体现测算过程。</w:t>
      </w:r>
      <w:r>
        <w:rPr>
          <w:rFonts w:hint="eastAsia" w:ascii="仿宋_GB2312" w:hAnsi="仿宋_GB2312" w:eastAsia="仿宋_GB2312" w:cs="仿宋_GB2312"/>
          <w:sz w:val="32"/>
          <w:szCs w:val="32"/>
          <w:highlight w:val="none"/>
          <w:lang w:val="en-US" w:eastAsia="zh-CN"/>
        </w:rPr>
        <w:t>补助标准为限额标准，</w:t>
      </w:r>
      <w:r>
        <w:rPr>
          <w:rFonts w:hint="default" w:ascii="仿宋_GB2312" w:hAnsi="仿宋_GB2312" w:eastAsia="仿宋_GB2312" w:cs="仿宋_GB2312"/>
          <w:sz w:val="32"/>
          <w:szCs w:val="32"/>
          <w:highlight w:val="none"/>
          <w:lang w:val="en-US" w:eastAsia="zh-CN"/>
        </w:rPr>
        <w:t>要</w:t>
      </w:r>
      <w:r>
        <w:rPr>
          <w:rFonts w:hint="eastAsia" w:ascii="仿宋_GB2312" w:hAnsi="仿宋_GB2312" w:eastAsia="仿宋_GB2312" w:cs="仿宋_GB2312"/>
          <w:sz w:val="32"/>
          <w:szCs w:val="32"/>
          <w:highlight w:val="none"/>
          <w:lang w:val="en-US" w:eastAsia="zh-CN"/>
        </w:rPr>
        <w:t>厉行节约，不得随意顶格申报。</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eastAsia" w:ascii="楷体_GB2312" w:hAnsi="楷体_GB2312" w:eastAsia="楷体_GB2312" w:cs="楷体_GB2312"/>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（一）保障性苗木培育</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补助形式：按照《贵州省省级林业保障性苗圃管理办法》，采取先建后补方式，结合地区苗木培育计划任务，对符合条件的保障性苗圃的育苗成本进行适当财政补助。</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1.市州根据辖区生态建设、林业产业发展、社会公益等用苗需求以及辖区内保障性苗圃的育苗能力，合理确定保障性苗木培育目标及年度任务，</w:t>
      </w:r>
      <w:r>
        <w:rPr>
          <w:rFonts w:hint="eastAsia" w:ascii="仿宋_GB2312" w:hAnsi="仿宋_GB2312" w:eastAsia="仿宋_GB2312" w:cs="仿宋_GB2312"/>
          <w:b/>
          <w:bCs/>
          <w:sz w:val="32"/>
          <w:szCs w:val="32"/>
          <w:highlight w:val="none"/>
          <w:lang w:val="en-US" w:eastAsia="zh-CN"/>
        </w:rPr>
        <w:t>公开发布</w:t>
      </w:r>
      <w:r>
        <w:rPr>
          <w:rFonts w:hint="eastAsia" w:ascii="仿宋_GB2312" w:hAnsi="仿宋_GB2312" w:eastAsia="仿宋_GB2312" w:cs="仿宋_GB2312"/>
          <w:sz w:val="32"/>
          <w:szCs w:val="32"/>
          <w:highlight w:val="none"/>
          <w:lang w:val="en-US" w:eastAsia="zh-CN"/>
        </w:rPr>
        <w:t>项目申报公告。</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2.辖区内符合申报条件的生产经营单位申报项目，填写项目实施方案并报县级林业主管部门。</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3.县林业主管部门重点审核项目申报材料的真实性、合规性，经县林业主管部门召开</w:t>
      </w:r>
      <w:r>
        <w:rPr>
          <w:rFonts w:hint="eastAsia" w:ascii="仿宋_GB2312" w:hAnsi="仿宋_GB2312" w:eastAsia="仿宋_GB2312" w:cs="仿宋_GB2312"/>
          <w:b/>
          <w:bCs/>
          <w:sz w:val="32"/>
          <w:szCs w:val="32"/>
          <w:highlight w:val="none"/>
          <w:lang w:val="en-US" w:eastAsia="zh-CN"/>
        </w:rPr>
        <w:t>党组会审核同意</w:t>
      </w:r>
      <w:r>
        <w:rPr>
          <w:rFonts w:hint="eastAsia" w:ascii="仿宋_GB2312" w:hAnsi="仿宋_GB2312" w:eastAsia="仿宋_GB2312" w:cs="仿宋_GB2312"/>
          <w:sz w:val="32"/>
          <w:szCs w:val="32"/>
          <w:highlight w:val="none"/>
          <w:lang w:val="en-US" w:eastAsia="zh-CN"/>
        </w:rPr>
        <w:t>后报市州林业主管部门。</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市州林业主管部门组织专家对申报材料进行审核。要审核项目实施的必要性、合理性、可行性，审核重点包括：项目建设内容是否符合财政资金使用相关规定，培育树种、数量是否符合本辖区内生态建设和产业发展需求，投资概算合理性，生产能力与申报任务匹配性等。经</w:t>
      </w:r>
      <w:r>
        <w:rPr>
          <w:rFonts w:hint="eastAsia" w:ascii="仿宋_GB2312" w:hAnsi="仿宋_GB2312" w:eastAsia="仿宋_GB2312" w:cs="仿宋_GB2312"/>
          <w:b/>
          <w:bCs/>
          <w:sz w:val="32"/>
          <w:szCs w:val="32"/>
          <w:highlight w:val="none"/>
          <w:lang w:val="en-US" w:eastAsia="zh-CN"/>
        </w:rPr>
        <w:t>专家评审</w:t>
      </w:r>
      <w:r>
        <w:rPr>
          <w:rFonts w:hint="eastAsia" w:ascii="仿宋_GB2312" w:hAnsi="仿宋_GB2312" w:eastAsia="仿宋_GB2312" w:cs="仿宋_GB2312"/>
          <w:sz w:val="32"/>
          <w:szCs w:val="32"/>
          <w:highlight w:val="none"/>
          <w:lang w:val="en-US" w:eastAsia="zh-CN"/>
        </w:rPr>
        <w:t>后，</w:t>
      </w:r>
      <w:r>
        <w:rPr>
          <w:rFonts w:hint="eastAsia" w:ascii="仿宋_GB2312" w:hAnsi="仿宋_GB2312" w:eastAsia="仿宋_GB2312" w:cs="仿宋_GB2312"/>
          <w:b/>
          <w:bCs/>
          <w:sz w:val="32"/>
          <w:szCs w:val="32"/>
          <w:highlight w:val="none"/>
          <w:lang w:val="en-US" w:eastAsia="zh-CN"/>
        </w:rPr>
        <w:t>召开党组会</w:t>
      </w:r>
      <w:r>
        <w:rPr>
          <w:rFonts w:hint="eastAsia" w:ascii="仿宋_GB2312" w:hAnsi="仿宋_GB2312" w:eastAsia="仿宋_GB2312" w:cs="仿宋_GB2312"/>
          <w:sz w:val="32"/>
          <w:szCs w:val="32"/>
          <w:highlight w:val="none"/>
          <w:lang w:val="en-US" w:eastAsia="zh-CN"/>
        </w:rPr>
        <w:t>确定申报项目名单并进行公示，</w:t>
      </w:r>
      <w:r>
        <w:rPr>
          <w:rFonts w:hint="eastAsia" w:ascii="仿宋_GB2312" w:hAnsi="仿宋_GB2312" w:eastAsia="仿宋_GB2312" w:cs="仿宋_GB2312"/>
          <w:b/>
          <w:bCs/>
          <w:sz w:val="32"/>
          <w:szCs w:val="32"/>
          <w:highlight w:val="none"/>
          <w:lang w:val="en-US" w:eastAsia="zh-CN"/>
        </w:rPr>
        <w:t>公示期为3个工作日</w:t>
      </w:r>
      <w:r>
        <w:rPr>
          <w:rFonts w:hint="eastAsia" w:ascii="仿宋_GB2312" w:hAnsi="仿宋_GB2312" w:eastAsia="仿宋_GB2312" w:cs="仿宋_GB2312"/>
          <w:sz w:val="32"/>
          <w:szCs w:val="32"/>
          <w:highlight w:val="none"/>
          <w:lang w:val="en-US" w:eastAsia="zh-CN"/>
        </w:rPr>
        <w:t>。公示期结束后，市州林业主管部门将申报材料、专家审核意见（选择该项目的理由）、党组会会议材料、公示结果一并报省林业局。</w:t>
      </w:r>
    </w:p>
    <w:p>
      <w:pPr>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5.省林业局组织专家对各市州上报的项目进行审核后，按省级预算申报程序申报预算资金。</w:t>
      </w:r>
    </w:p>
    <w:p>
      <w:pPr>
        <w:keepNext w:val="0"/>
        <w:keepLines w:val="0"/>
        <w:pageBreakBefore w:val="0"/>
        <w:widowControl w:val="0"/>
        <w:kinsoku/>
        <w:wordWrap/>
        <w:overflowPunct/>
        <w:topLinePunct w:val="0"/>
        <w:autoSpaceDE/>
        <w:autoSpaceDN/>
        <w:bidi w:val="0"/>
        <w:adjustRightInd/>
        <w:snapToGri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资金测算根据《贵州省林业局部门整体项目支出预算标准体系（试行）》，按照保障性苗圃建设项目中的ABCD树种分类标准测算资金，要求资金测算细化、量化，按实际需求测算。</w:t>
      </w:r>
    </w:p>
    <w:p>
      <w:pPr>
        <w:keepNext w:val="0"/>
        <w:keepLines w:val="0"/>
        <w:pageBreakBefore w:val="0"/>
        <w:widowControl w:val="0"/>
        <w:numPr>
          <w:ilvl w:val="0"/>
          <w:numId w:val="3"/>
        </w:numPr>
        <w:kinsoku/>
        <w:wordWrap/>
        <w:overflowPunct/>
        <w:topLinePunct w:val="0"/>
        <w:autoSpaceDE/>
        <w:autoSpaceDN/>
        <w:bidi w:val="0"/>
        <w:adjustRightInd/>
        <w:snapToGrid/>
        <w:spacing w:line="570" w:lineRule="exact"/>
        <w:ind w:firstLine="64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其他支出方向</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测算根据《贵州省林业局部门整体项目支出预算标准体系（试行）》，林木良种基地建设申报标准为≤6667元/亩；林草种质资源库建设申报标准为≤4000元/亩；种质资源调查收集申报标准为≤3000元/份，并使用林草种质资源APP调查录入；品种选育申报标准为：采种≤1737元/点（一年</w:t>
      </w:r>
      <w:r>
        <w:rPr>
          <w:rFonts w:hint="default" w:ascii="仿宋_GB2312" w:hAnsi="仿宋_GB2312" w:eastAsia="仿宋_GB2312" w:cs="仿宋_GB2312"/>
          <w:sz w:val="32"/>
          <w:szCs w:val="32"/>
          <w:highlight w:val="none"/>
          <w:lang w:val="en-US" w:eastAsia="zh-CN"/>
        </w:rPr>
        <w:t>一般</w:t>
      </w:r>
      <w:r>
        <w:rPr>
          <w:rFonts w:hint="eastAsia" w:ascii="仿宋_GB2312" w:hAnsi="仿宋_GB2312" w:eastAsia="仿宋_GB2312" w:cs="仿宋_GB2312"/>
          <w:sz w:val="32"/>
          <w:szCs w:val="32"/>
          <w:highlight w:val="none"/>
          <w:lang w:val="en-US" w:eastAsia="zh-CN"/>
        </w:rPr>
        <w:t>不超过300个点），品种选育≤1420元/份（一年</w:t>
      </w:r>
      <w:r>
        <w:rPr>
          <w:rFonts w:hint="default" w:ascii="仿宋_GB2312" w:hAnsi="仿宋_GB2312" w:eastAsia="仿宋_GB2312" w:cs="仿宋_GB2312"/>
          <w:sz w:val="32"/>
          <w:szCs w:val="32"/>
          <w:highlight w:val="none"/>
          <w:lang w:val="en-US" w:eastAsia="zh-CN"/>
        </w:rPr>
        <w:t>一般</w:t>
      </w:r>
      <w:r>
        <w:rPr>
          <w:rFonts w:hint="eastAsia" w:ascii="仿宋_GB2312" w:hAnsi="仿宋_GB2312" w:eastAsia="仿宋_GB2312" w:cs="仿宋_GB2312"/>
          <w:sz w:val="32"/>
          <w:szCs w:val="32"/>
          <w:highlight w:val="none"/>
          <w:lang w:val="en-US" w:eastAsia="zh-CN"/>
        </w:rPr>
        <w:t>不超过300份），遗传区域性试验≤4300元/亩（一年</w:t>
      </w:r>
      <w:r>
        <w:rPr>
          <w:rFonts w:hint="default" w:ascii="仿宋_GB2312" w:hAnsi="仿宋_GB2312" w:eastAsia="仿宋_GB2312" w:cs="仿宋_GB2312"/>
          <w:sz w:val="32"/>
          <w:szCs w:val="32"/>
          <w:highlight w:val="none"/>
          <w:lang w:val="en-US" w:eastAsia="zh-CN"/>
        </w:rPr>
        <w:t>一般</w:t>
      </w:r>
      <w:r>
        <w:rPr>
          <w:rFonts w:hint="eastAsia" w:ascii="仿宋_GB2312" w:hAnsi="仿宋_GB2312" w:eastAsia="仿宋_GB2312" w:cs="仿宋_GB2312"/>
          <w:sz w:val="32"/>
          <w:szCs w:val="32"/>
          <w:highlight w:val="none"/>
          <w:lang w:val="en-US" w:eastAsia="zh-CN"/>
        </w:rPr>
        <w:t>不超过200亩），品种选育验收3000-5000元/项（一个项目不超过3次）。要求资金测算细化、量化，按实际需求测算，不得随意顶格申报。</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方正仿宋_GB2312" w:hAnsi="方正仿宋_GB2312" w:eastAsia="方正仿宋_GB2312" w:cs="方正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未制定支出标准的乡土树种种子收储及质量监督管理项目可结合市场价格，根据具体任务量测算并写清楚测算依据。</w:t>
      </w: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黑体" w:hAnsi="黑体" w:eastAsia="黑体" w:cs="黑体"/>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 xml:space="preserve">    </w:t>
      </w:r>
      <w:r>
        <w:rPr>
          <w:rFonts w:hint="eastAsia" w:ascii="黑体" w:hAnsi="黑体" w:eastAsia="黑体" w:cs="黑体"/>
          <w:sz w:val="32"/>
          <w:szCs w:val="32"/>
          <w:highlight w:val="none"/>
          <w:lang w:val="en-US" w:eastAsia="zh-CN"/>
        </w:rPr>
        <w:t>五、对口业务部门及联系方式</w:t>
      </w:r>
    </w:p>
    <w:p>
      <w:pPr>
        <w:keepNext w:val="0"/>
        <w:keepLines w:val="0"/>
        <w:pageBreakBefore w:val="0"/>
        <w:widowControl w:val="0"/>
        <w:kinsoku/>
        <w:wordWrap/>
        <w:overflowPunct/>
        <w:topLinePunct w:val="0"/>
        <w:autoSpaceDE/>
        <w:autoSpaceDN/>
        <w:bidi w:val="0"/>
        <w:adjustRightInd/>
        <w:snapToGri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对口业务部门：贵州省林业种苗站</w:t>
      </w:r>
    </w:p>
    <w:p>
      <w:pPr>
        <w:keepNext w:val="0"/>
        <w:keepLines w:val="0"/>
        <w:pageBreakBefore w:val="0"/>
        <w:widowControl w:val="0"/>
        <w:kinsoku/>
        <w:wordWrap/>
        <w:overflowPunct/>
        <w:topLinePunct w:val="0"/>
        <w:autoSpaceDE/>
        <w:autoSpaceDN/>
        <w:bidi w:val="0"/>
        <w:adjustRightInd/>
        <w:snapToGri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联系人及方式：杨通翠；18008519036</w:t>
      </w:r>
    </w:p>
    <w:p>
      <w:pPr>
        <w:keepNext w:val="0"/>
        <w:keepLines w:val="0"/>
        <w:pageBreakBefore w:val="0"/>
        <w:widowControl w:val="0"/>
        <w:kinsoku/>
        <w:wordWrap/>
        <w:overflowPunct/>
        <w:topLinePunct w:val="0"/>
        <w:autoSpaceDE/>
        <w:autoSpaceDN/>
        <w:bidi w:val="0"/>
        <w:adjustRightInd/>
        <w:snapToGri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黑体" w:hAnsi="黑体" w:eastAsia="黑体" w:cs="黑体"/>
          <w:sz w:val="28"/>
          <w:szCs w:val="28"/>
          <w:highlight w:val="none"/>
          <w:lang w:val="en-US" w:eastAsia="zh-CN"/>
        </w:rPr>
      </w:pPr>
    </w:p>
    <w:p>
      <w:pPr>
        <w:pStyle w:val="6"/>
        <w:keepNext w:val="0"/>
        <w:keepLines w:val="0"/>
        <w:pageBreakBefore w:val="0"/>
        <w:kinsoku/>
        <w:wordWrap/>
        <w:overflowPunct/>
        <w:topLinePunct w:val="0"/>
        <w:autoSpaceDE/>
        <w:autoSpaceDN/>
        <w:bidi w:val="0"/>
        <w:spacing w:line="570" w:lineRule="exact"/>
        <w:ind w:left="0" w:leftChars="0" w:firstLine="0" w:firstLineChars="0"/>
        <w:jc w:val="both"/>
        <w:textAlignment w:val="auto"/>
        <w:rPr>
          <w:rFonts w:hint="eastAsia" w:ascii="方正小标宋_GBK" w:hAnsi="方正小标宋_GBK" w:eastAsia="方正小标宋_GBK" w:cs="方正小标宋_GBK"/>
          <w:bCs/>
          <w:color w:val="000000"/>
          <w:sz w:val="52"/>
          <w:szCs w:val="52"/>
          <w:highlight w:val="none"/>
          <w:lang w:val="en-US" w:eastAsia="zh-CN"/>
        </w:rPr>
      </w:pPr>
    </w:p>
    <w:p>
      <w:pPr>
        <w:pStyle w:val="6"/>
        <w:keepNext w:val="0"/>
        <w:keepLines w:val="0"/>
        <w:pageBreakBefore w:val="0"/>
        <w:kinsoku/>
        <w:wordWrap/>
        <w:overflowPunct/>
        <w:topLinePunct w:val="0"/>
        <w:autoSpaceDE/>
        <w:autoSpaceDN/>
        <w:bidi w:val="0"/>
        <w:spacing w:line="570" w:lineRule="exact"/>
        <w:ind w:left="0" w:leftChars="0" w:firstLine="0" w:firstLineChars="0"/>
        <w:jc w:val="center"/>
        <w:textAlignment w:val="auto"/>
        <w:rPr>
          <w:rFonts w:hint="eastAsia" w:ascii="方正小标宋_GBK" w:hAnsi="方正小标宋_GBK" w:eastAsia="方正小标宋_GBK" w:cs="方正小标宋_GBK"/>
          <w:bCs/>
          <w:color w:val="000000"/>
          <w:sz w:val="52"/>
          <w:szCs w:val="52"/>
          <w:highlight w:val="none"/>
          <w:lang w:val="en-US" w:eastAsia="zh-CN"/>
        </w:rPr>
      </w:pPr>
    </w:p>
    <w:p>
      <w:pPr>
        <w:pStyle w:val="6"/>
        <w:keepNext w:val="0"/>
        <w:keepLines w:val="0"/>
        <w:pageBreakBefore w:val="0"/>
        <w:kinsoku/>
        <w:wordWrap/>
        <w:overflowPunct/>
        <w:topLinePunct w:val="0"/>
        <w:autoSpaceDE/>
        <w:autoSpaceDN/>
        <w:bidi w:val="0"/>
        <w:spacing w:line="570" w:lineRule="exact"/>
        <w:ind w:left="0" w:leftChars="0" w:firstLine="0" w:firstLineChars="0"/>
        <w:jc w:val="center"/>
        <w:textAlignment w:val="auto"/>
        <w:rPr>
          <w:rFonts w:hint="eastAsia" w:ascii="方正小标宋_GBK" w:hAnsi="方正小标宋_GBK" w:eastAsia="方正小标宋_GBK" w:cs="方正小标宋_GBK"/>
          <w:bCs/>
          <w:color w:val="000000"/>
          <w:sz w:val="52"/>
          <w:szCs w:val="52"/>
          <w:highlight w:val="none"/>
          <w:lang w:val="en-US" w:eastAsia="zh-CN"/>
        </w:rPr>
      </w:pPr>
    </w:p>
    <w:p>
      <w:pPr>
        <w:pStyle w:val="6"/>
        <w:keepNext w:val="0"/>
        <w:keepLines w:val="0"/>
        <w:pageBreakBefore w:val="0"/>
        <w:widowControl w:val="0"/>
        <w:kinsoku/>
        <w:wordWrap/>
        <w:overflowPunct/>
        <w:topLinePunct w:val="0"/>
        <w:autoSpaceDE/>
        <w:autoSpaceDN/>
        <w:bidi w:val="0"/>
        <w:adjustRightInd/>
        <w:snapToGrid/>
        <w:spacing w:line="720" w:lineRule="exact"/>
        <w:ind w:left="0" w:leftChars="0" w:firstLine="0" w:firstLineChars="0"/>
        <w:jc w:val="center"/>
        <w:textAlignment w:val="auto"/>
        <w:rPr>
          <w:rFonts w:hint="eastAsia" w:ascii="方正小标宋_GBK" w:hAnsi="方正小标宋_GBK" w:eastAsia="方正小标宋_GBK" w:cs="方正小标宋_GBK"/>
          <w:bCs/>
          <w:color w:val="000000"/>
          <w:sz w:val="52"/>
          <w:szCs w:val="52"/>
          <w:highlight w:val="none"/>
          <w:lang w:val="en-US" w:eastAsia="zh-CN"/>
        </w:rPr>
      </w:pPr>
      <w:r>
        <w:rPr>
          <w:rFonts w:hint="eastAsia" w:ascii="方正小标宋_GBK" w:hAnsi="方正小标宋_GBK" w:eastAsia="方正小标宋_GBK" w:cs="方正小标宋_GBK"/>
          <w:bCs/>
          <w:color w:val="000000"/>
          <w:sz w:val="52"/>
          <w:szCs w:val="52"/>
          <w:highlight w:val="none"/>
          <w:lang w:val="en-US" w:eastAsia="zh-CN"/>
        </w:rPr>
        <w:t>2026年度省级预算项目申报建议书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简体" w:hAnsi="方正小标宋简体" w:eastAsia="方正小标宋简体" w:cs="方正小标宋简体"/>
          <w:bCs/>
          <w:sz w:val="44"/>
          <w:szCs w:val="44"/>
          <w:highlight w:val="none"/>
          <w:lang w:val="en-US" w:eastAsia="zh-CN"/>
        </w:rPr>
      </w:pPr>
      <w:r>
        <w:rPr>
          <w:rFonts w:hint="eastAsia" w:ascii="方正小标宋简体" w:hAnsi="方正小标宋简体" w:eastAsia="方正小标宋简体" w:cs="方正小标宋简体"/>
          <w:bCs/>
          <w:sz w:val="44"/>
          <w:szCs w:val="44"/>
          <w:highlight w:val="none"/>
          <w:lang w:val="en-US" w:eastAsia="zh-CN"/>
        </w:rPr>
        <w:t>（林木种苗培育补助）</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黑体" w:hAnsi="黑体" w:eastAsia="黑体" w:cs="黑体"/>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both"/>
        <w:textAlignment w:val="auto"/>
        <w:outlineLvl w:val="9"/>
        <w:rPr>
          <w:rFonts w:hint="eastAsia" w:ascii="黑体" w:hAnsi="黑体" w:eastAsia="黑体" w:cs="黑体"/>
          <w:bCs/>
          <w:sz w:val="32"/>
          <w:szCs w:val="32"/>
          <w:highlight w:val="none"/>
          <w:lang w:val="en-US" w:eastAsia="zh-CN"/>
        </w:rPr>
      </w:pPr>
    </w:p>
    <w:p>
      <w:pPr>
        <w:pStyle w:val="6"/>
        <w:keepNext w:val="0"/>
        <w:keepLines w:val="0"/>
        <w:pageBreakBefore w:val="0"/>
        <w:widowControl w:val="0"/>
        <w:kinsoku/>
        <w:wordWrap/>
        <w:overflowPunct/>
        <w:topLinePunct w:val="0"/>
        <w:autoSpaceDE/>
        <w:autoSpaceDN/>
        <w:bidi w:val="0"/>
        <w:adjustRightInd/>
        <w:snapToGrid/>
        <w:spacing w:line="720" w:lineRule="exact"/>
        <w:ind w:left="0" w:leftChars="0" w:firstLine="640" w:firstLineChars="200"/>
        <w:jc w:val="left"/>
        <w:textAlignment w:val="auto"/>
        <w:rPr>
          <w:rFonts w:hint="default"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申报项目名称：</w:t>
      </w:r>
    </w:p>
    <w:p>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left"/>
        <w:textAlignment w:val="auto"/>
        <w:outlineLvl w:val="9"/>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申报单位（盖章）：</w:t>
      </w:r>
    </w:p>
    <w:p>
      <w:pPr>
        <w:pStyle w:val="6"/>
        <w:keepNext w:val="0"/>
        <w:keepLines w:val="0"/>
        <w:pageBreakBefore w:val="0"/>
        <w:widowControl w:val="0"/>
        <w:kinsoku/>
        <w:wordWrap/>
        <w:overflowPunct/>
        <w:topLinePunct w:val="0"/>
        <w:autoSpaceDE/>
        <w:autoSpaceDN/>
        <w:bidi w:val="0"/>
        <w:adjustRightInd/>
        <w:snapToGrid/>
        <w:spacing w:line="72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单位主要负责人（签章）：</w:t>
      </w:r>
    </w:p>
    <w:p>
      <w:pPr>
        <w:pStyle w:val="6"/>
        <w:keepNext w:val="0"/>
        <w:keepLines w:val="0"/>
        <w:pageBreakBefore w:val="0"/>
        <w:widowControl w:val="0"/>
        <w:kinsoku/>
        <w:wordWrap/>
        <w:overflowPunct/>
        <w:topLinePunct w:val="0"/>
        <w:autoSpaceDE/>
        <w:autoSpaceDN/>
        <w:bidi w:val="0"/>
        <w:adjustRightInd/>
        <w:snapToGrid/>
        <w:spacing w:line="72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项目申报人及联系方式：</w:t>
      </w:r>
    </w:p>
    <w:p>
      <w:pPr>
        <w:pStyle w:val="6"/>
        <w:keepNext w:val="0"/>
        <w:keepLines w:val="0"/>
        <w:pageBreakBefore w:val="0"/>
        <w:widowControl w:val="0"/>
        <w:kinsoku/>
        <w:wordWrap/>
        <w:overflowPunct/>
        <w:topLinePunct w:val="0"/>
        <w:autoSpaceDE/>
        <w:autoSpaceDN/>
        <w:bidi w:val="0"/>
        <w:adjustRightInd/>
        <w:snapToGrid/>
        <w:spacing w:line="72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申报日期：</w:t>
      </w:r>
    </w:p>
    <w:p>
      <w:pPr>
        <w:pStyle w:val="6"/>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黑体" w:hAnsi="黑体" w:eastAsia="黑体" w:cs="黑体"/>
          <w:sz w:val="32"/>
          <w:szCs w:val="32"/>
          <w:highlight w:val="none"/>
          <w:lang w:val="en-US" w:eastAsia="zh-CN"/>
        </w:rPr>
      </w:pPr>
    </w:p>
    <w:p>
      <w:pPr>
        <w:pStyle w:val="6"/>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textAlignment w:val="auto"/>
        <w:rPr>
          <w:rFonts w:hint="eastAsia" w:ascii="楷体_GB2312" w:hAnsi="楷体_GB2312" w:eastAsia="楷体_GB2312" w:cs="楷体_GB2312"/>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方正仿宋_GB2312" w:hAnsi="方正仿宋_GB2312" w:eastAsia="方正仿宋_GB2312" w:cs="方正仿宋_GB2312"/>
          <w:sz w:val="32"/>
          <w:szCs w:val="32"/>
          <w:highlight w:val="none"/>
          <w:lang w:val="en-US" w:eastAsia="zh-CN"/>
        </w:rPr>
      </w:pPr>
    </w:p>
    <w:p>
      <w:pPr>
        <w:pStyle w:val="6"/>
        <w:keepNext w:val="0"/>
        <w:keepLines w:val="0"/>
        <w:pageBreakBefore w:val="0"/>
        <w:kinsoku/>
        <w:wordWrap/>
        <w:overflowPunct/>
        <w:topLinePunct w:val="0"/>
        <w:autoSpaceDE/>
        <w:autoSpaceDN/>
        <w:bidi w:val="0"/>
        <w:spacing w:line="570" w:lineRule="exact"/>
        <w:textAlignment w:val="auto"/>
        <w:rPr>
          <w:rFonts w:hint="eastAsia" w:ascii="方正仿宋_GB2312" w:hAnsi="方正仿宋_GB2312" w:eastAsia="方正仿宋_GB2312" w:cs="方正仿宋_GB2312"/>
          <w:sz w:val="32"/>
          <w:szCs w:val="32"/>
          <w:highlight w:val="none"/>
          <w:lang w:val="en-US" w:eastAsia="zh-CN"/>
        </w:rPr>
      </w:pPr>
    </w:p>
    <w:p>
      <w:pPr>
        <w:pStyle w:val="6"/>
        <w:keepNext w:val="0"/>
        <w:keepLines w:val="0"/>
        <w:pageBreakBefore w:val="0"/>
        <w:kinsoku/>
        <w:wordWrap/>
        <w:overflowPunct/>
        <w:topLinePunct w:val="0"/>
        <w:autoSpaceDE/>
        <w:autoSpaceDN/>
        <w:bidi w:val="0"/>
        <w:spacing w:line="570" w:lineRule="exact"/>
        <w:textAlignment w:val="auto"/>
        <w:rPr>
          <w:rFonts w:hint="eastAsia" w:ascii="方正仿宋_GB2312" w:hAnsi="方正仿宋_GB2312" w:eastAsia="方正仿宋_GB2312" w:cs="方正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方正仿宋_GB2312" w:hAnsi="方正仿宋_GB2312" w:eastAsia="方正仿宋_GB2312" w:cs="方正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（一）项目名称。</w:t>
      </w:r>
      <w:r>
        <w:rPr>
          <w:rFonts w:hint="eastAsia" w:ascii="仿宋_GB2312" w:hAnsi="仿宋_GB2312" w:eastAsia="仿宋_GB2312" w:cs="仿宋_GB2312"/>
          <w:sz w:val="32"/>
          <w:szCs w:val="32"/>
          <w:highlight w:val="none"/>
          <w:lang w:val="en-US" w:eastAsia="zh-CN"/>
        </w:rPr>
        <w:t>XX市（州）XX县（区）2026年度XX项目</w:t>
      </w:r>
    </w:p>
    <w:p>
      <w:pPr>
        <w:keepNext w:val="0"/>
        <w:keepLines w:val="0"/>
        <w:pageBreakBefore w:val="0"/>
        <w:widowControl w:val="0"/>
        <w:kinsoku/>
        <w:wordWrap/>
        <w:overflowPunct/>
        <w:topLinePunct w:val="0"/>
        <w:autoSpaceDE/>
        <w:autoSpaceDN/>
        <w:bidi w:val="0"/>
        <w:adjustRightInd/>
        <w:snapToGrid/>
        <w:spacing w:line="570" w:lineRule="exact"/>
        <w:ind w:left="958" w:leftChars="304" w:hanging="320" w:hangingChars="1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（二）项目申报单位。</w:t>
      </w:r>
      <w:r>
        <w:rPr>
          <w:rFonts w:hint="eastAsia" w:ascii="仿宋_GB2312" w:hAnsi="仿宋_GB2312" w:eastAsia="仿宋_GB2312" w:cs="仿宋_GB2312"/>
          <w:sz w:val="32"/>
          <w:szCs w:val="32"/>
          <w:highlight w:val="none"/>
          <w:lang w:val="en-US" w:eastAsia="zh-CN"/>
        </w:rPr>
        <w:t>单位全称</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default"/>
          <w:sz w:val="32"/>
          <w:szCs w:val="32"/>
          <w:highlight w:val="none"/>
          <w:lang w:val="en-US" w:eastAsia="zh-CN"/>
        </w:rPr>
      </w:pPr>
      <w:r>
        <w:rPr>
          <w:rFonts w:hint="eastAsia" w:ascii="仿宋_GB2312" w:hAnsi="仿宋_GB2312" w:eastAsia="仿宋_GB2312" w:cs="仿宋_GB2312"/>
          <w:sz w:val="32"/>
          <w:szCs w:val="32"/>
          <w:highlight w:val="none"/>
          <w:lang w:val="en-US" w:eastAsia="zh-CN"/>
        </w:rPr>
        <w:t>（三）</w:t>
      </w:r>
      <w:r>
        <w:rPr>
          <w:rFonts w:hint="eastAsia" w:ascii="楷体_GB2312" w:hAnsi="楷体_GB2312" w:eastAsia="楷体_GB2312" w:cs="楷体_GB2312"/>
          <w:sz w:val="32"/>
          <w:szCs w:val="32"/>
          <w:highlight w:val="none"/>
          <w:lang w:val="en-US" w:eastAsia="zh-CN"/>
        </w:rPr>
        <w:t>项目实施主体。</w:t>
      </w:r>
      <w:r>
        <w:rPr>
          <w:rFonts w:hint="eastAsia" w:ascii="仿宋_GB2312" w:hAnsi="仿宋_GB2312" w:eastAsia="仿宋_GB2312" w:cs="仿宋_GB2312"/>
          <w:sz w:val="32"/>
          <w:szCs w:val="32"/>
          <w:highlight w:val="none"/>
          <w:lang w:val="en-US" w:eastAsia="zh-CN"/>
        </w:rPr>
        <w:t>申报时要求明确主体的就写具体主体全称。如果需通过政府采购后明确的，那就写“政府采购确定”或项目申报单位名称。</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（四）项目建设地点。</w:t>
      </w:r>
      <w:r>
        <w:rPr>
          <w:rFonts w:hint="eastAsia" w:ascii="仿宋_GB2312" w:hAnsi="仿宋_GB2312" w:eastAsia="仿宋_GB2312" w:cs="仿宋_GB2312"/>
          <w:sz w:val="32"/>
          <w:szCs w:val="32"/>
          <w:highlight w:val="none"/>
          <w:lang w:val="en-US" w:eastAsia="zh-CN"/>
        </w:rPr>
        <w:t>涉及小地名的要明确小地名。</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（五）项目实施规模及内容。</w:t>
      </w:r>
      <w:r>
        <w:rPr>
          <w:rFonts w:hint="eastAsia" w:ascii="仿宋_GB2312" w:hAnsi="仿宋_GB2312" w:eastAsia="仿宋_GB2312" w:cs="仿宋_GB2312"/>
          <w:sz w:val="32"/>
          <w:szCs w:val="32"/>
          <w:highlight w:val="none"/>
          <w:lang w:val="en-US" w:eastAsia="zh-CN"/>
        </w:rPr>
        <w:t>简要介绍项目实施内容及建设规模。</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（六）项目实施期限。</w:t>
      </w:r>
      <w:r>
        <w:rPr>
          <w:rFonts w:hint="eastAsia" w:ascii="仿宋_GB2312" w:hAnsi="仿宋_GB2312" w:eastAsia="仿宋_GB2312" w:cs="仿宋_GB2312"/>
          <w:sz w:val="32"/>
          <w:szCs w:val="32"/>
          <w:highlight w:val="none"/>
          <w:lang w:val="en-US" w:eastAsia="zh-CN"/>
        </w:rPr>
        <w:t>XX年（与需求年限对应）</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（七）资金需求。</w:t>
      </w:r>
      <w:r>
        <w:rPr>
          <w:rFonts w:hint="eastAsia" w:ascii="仿宋_GB2312" w:hAnsi="仿宋_GB2312" w:eastAsia="仿宋_GB2312" w:cs="仿宋_GB2312"/>
          <w:sz w:val="32"/>
          <w:szCs w:val="32"/>
          <w:highlight w:val="none"/>
          <w:lang w:val="en-US" w:eastAsia="zh-CN"/>
        </w:rPr>
        <w:t>本项目拟申报XX万元，其中：2026年XX万元、2027年XX万元、2028年XX万元。（省本级项目需明确3年预算规划，省对下只申报1年）</w:t>
      </w:r>
    </w:p>
    <w:p>
      <w:pPr>
        <w:pStyle w:val="2"/>
        <w:keepNext w:val="0"/>
        <w:keepLines w:val="0"/>
        <w:pageBreakBefore w:val="0"/>
        <w:widowControl w:val="0"/>
        <w:kinsoku/>
        <w:wordWrap/>
        <w:overflowPunct/>
        <w:topLinePunct w:val="0"/>
        <w:autoSpaceDE/>
        <w:autoSpaceDN/>
        <w:bidi w:val="0"/>
        <w:adjustRightInd/>
        <w:spacing w:line="570" w:lineRule="exact"/>
        <w:jc w:val="both"/>
        <w:textAlignment w:val="auto"/>
        <w:rPr>
          <w:rFonts w:hint="eastAsia" w:ascii="黑体" w:hAnsi="黑体" w:eastAsia="黑体" w:cs="黑体"/>
          <w:b w:val="0"/>
          <w:bCs w:val="0"/>
          <w:sz w:val="32"/>
          <w:szCs w:val="32"/>
          <w:highlight w:val="none"/>
          <w:lang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default"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eastAsia="zh-CN"/>
        </w:rPr>
        <w:t>二</w:t>
      </w:r>
      <w:r>
        <w:rPr>
          <w:rFonts w:hint="eastAsia" w:ascii="黑体" w:hAnsi="黑体" w:eastAsia="黑体" w:cs="黑体"/>
          <w:b w:val="0"/>
          <w:bCs w:val="0"/>
          <w:sz w:val="32"/>
          <w:szCs w:val="32"/>
          <w:highlight w:val="none"/>
        </w:rPr>
        <w:t>、</w:t>
      </w:r>
      <w:r>
        <w:rPr>
          <w:rFonts w:hint="eastAsia" w:ascii="黑体" w:hAnsi="黑体" w:eastAsia="黑体" w:cs="黑体"/>
          <w:b w:val="0"/>
          <w:bCs w:val="0"/>
          <w:sz w:val="32"/>
          <w:szCs w:val="32"/>
          <w:highlight w:val="none"/>
          <w:lang w:val="en-US" w:eastAsia="zh-CN"/>
        </w:rPr>
        <w:t>项目基本情况</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（一）项目建设背景</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（二）项目现状分析</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（三）项目需求分析</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sz w:val="32"/>
          <w:szCs w:val="32"/>
          <w:highlight w:val="none"/>
          <w:lang w:val="en-US" w:eastAsia="zh-CN"/>
        </w:rPr>
      </w:pPr>
      <w:r>
        <w:rPr>
          <w:rFonts w:hint="eastAsia" w:ascii="仿宋_GB2312" w:hAnsi="仿宋_GB2312" w:eastAsia="仿宋_GB2312" w:cs="仿宋_GB2312"/>
          <w:sz w:val="32"/>
          <w:szCs w:val="32"/>
          <w:highlight w:val="none"/>
          <w:lang w:val="en-US" w:eastAsia="zh-CN"/>
        </w:rPr>
        <w:t>（区域经济、生态发展对项目的需求等）</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三、必要性、可行性分析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（一）项目立项依据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1.根据XX文件，“XX……”。</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2.根据XX文件，“XX……”。</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（二）项目建设目标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（三）项目建设条件</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对照申报指南简要表述。</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jc w:val="both"/>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（四）申报/实施主体资质</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对照申报指南明确主要资质。</w:t>
      </w: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仿宋_GB2312" w:hAnsi="仿宋_GB2312" w:eastAsia="仿宋_GB2312" w:cs="仿宋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w:t>
      </w:r>
      <w:r>
        <w:rPr>
          <w:rFonts w:hint="eastAsia" w:ascii="黑体" w:hAnsi="黑体" w:eastAsia="黑体" w:cs="黑体"/>
          <w:sz w:val="32"/>
          <w:szCs w:val="32"/>
          <w:highlight w:val="none"/>
        </w:rPr>
        <w:t>、建设方案及</w:t>
      </w:r>
      <w:r>
        <w:rPr>
          <w:rFonts w:hint="eastAsia" w:ascii="黑体" w:hAnsi="黑体" w:eastAsia="黑体" w:cs="黑体"/>
          <w:sz w:val="32"/>
          <w:szCs w:val="32"/>
          <w:highlight w:val="none"/>
          <w:lang w:val="en-US" w:eastAsia="zh-CN"/>
        </w:rPr>
        <w:t>进度安排</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（一）项目建设方案</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详细表述项目拟建设内容，总体情况+各分项情况。</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firstLineChars="200"/>
        <w:jc w:val="both"/>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（二）项目实施进度安排</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项目实施进度：</w:t>
      </w:r>
    </w:p>
    <w:p>
      <w:pPr>
        <w:pStyle w:val="2"/>
        <w:keepNext w:val="0"/>
        <w:keepLines w:val="0"/>
        <w:pageBreakBefore w:val="0"/>
        <w:widowControl w:val="0"/>
        <w:numPr>
          <w:ilvl w:val="0"/>
          <w:numId w:val="0"/>
        </w:numPr>
        <w:kinsoku/>
        <w:wordWrap/>
        <w:overflowPunct/>
        <w:topLinePunct w:val="0"/>
        <w:autoSpaceDE/>
        <w:autoSpaceDN/>
        <w:bidi w:val="0"/>
        <w:adjustRightInd/>
        <w:spacing w:line="570" w:lineRule="exact"/>
        <w:ind w:firstLine="64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资金支付进度：</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黑体" w:hAnsi="黑体" w:eastAsia="黑体" w:cs="黑体"/>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、预算及</w:t>
      </w:r>
      <w:r>
        <w:rPr>
          <w:rFonts w:hint="eastAsia" w:ascii="黑体" w:hAnsi="黑体" w:eastAsia="黑体" w:cs="黑体"/>
          <w:sz w:val="32"/>
          <w:szCs w:val="32"/>
          <w:highlight w:val="none"/>
          <w:lang w:val="en-US" w:eastAsia="zh-CN"/>
        </w:rPr>
        <w:t>投资效益分析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（一）项目预算</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本项目拟申报预算XX万元，其中：2026年XX万元、2027年XX万元、2028年XX万元（若分年度）。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2026年预算需求XX万元，具体支出如下：</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1.XX事项预算XX万元，任务量*支出标准=金额</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2.XX事项预算XX万元，任务量*支出标准=金额</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3.XX事项预算XX万元，任务量*支出标准=金额</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2027年、2028年预算需求原则同上。</w:t>
      </w: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default"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（二）资金来源</w:t>
      </w: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 xml:space="preserve">    如为省级财政全额补助的，则写“省级财政专项资金”</w:t>
      </w: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 xml:space="preserve">    如有配套、自筹资金的，需分开写清楚各渠道资金总量、并再次细化测算配套、自筹资金。</w:t>
      </w:r>
    </w:p>
    <w:p>
      <w:pPr>
        <w:pStyle w:val="2"/>
        <w:keepNext w:val="0"/>
        <w:keepLines w:val="0"/>
        <w:pageBreakBefore w:val="0"/>
        <w:widowControl w:val="0"/>
        <w:kinsoku/>
        <w:wordWrap/>
        <w:overflowPunct/>
        <w:topLinePunct w:val="0"/>
        <w:autoSpaceDE/>
        <w:autoSpaceDN/>
        <w:bidi w:val="0"/>
        <w:adjustRightInd/>
        <w:spacing w:line="570" w:lineRule="exact"/>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default"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（三）项目投资成效分析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重点描述资金投入产出比</w:t>
      </w:r>
      <w:r>
        <w:rPr>
          <w:rFonts w:hint="eastAsia" w:ascii="仿宋_GB2312" w:hAnsi="仿宋_GB2312" w:eastAsia="仿宋_GB2312" w:cs="仿宋_GB2312"/>
          <w:sz w:val="32"/>
          <w:szCs w:val="32"/>
          <w:highlight w:val="none"/>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default"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（四）近三年同类项目执行情况</w:t>
      </w:r>
    </w:p>
    <w:p>
      <w:pPr>
        <w:pStyle w:val="2"/>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2023-2025年，共下达XX项目XX万元，截至目前已支出XX万元，执行率为XX%。其中：2023年下达XX项目XX万元，截至目前已支出XX万元，执行率为XX%。2024年下达XX项目XX万元，截至目前已支出XX万元，执行率为XX%。2025年下达XX项目XX万元，截至目前已支出XX万元，执行率为XX%。</w:t>
      </w:r>
    </w:p>
    <w:p>
      <w:pPr>
        <w:pStyle w:val="2"/>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（五）风险分析及防控</w:t>
      </w:r>
    </w:p>
    <w:p>
      <w:pPr>
        <w:pStyle w:val="2"/>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主要描述项目实施是否增加地方债务风险。</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黑体" w:hAnsi="黑体" w:eastAsia="黑体" w:cs="黑体"/>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、绩效管理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（一）绩效目标</w:t>
      </w:r>
    </w:p>
    <w:p>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要求明确项目数量指标和质量指标等，数量指标要和测算任务量对应，质量指标要充分体现项目验收标准。若支出标准体系有绩效指标体系的，设定的指标需至少覆盖支出标准绩效指标。</w:t>
      </w:r>
    </w:p>
    <w:p>
      <w:pPr>
        <w:keepNext w:val="0"/>
        <w:keepLines w:val="0"/>
        <w:pageBreakBefore w:val="0"/>
        <w:widowControl/>
        <w:suppressLineNumbers w:val="0"/>
        <w:kinsoku/>
        <w:wordWrap/>
        <w:overflowPunct/>
        <w:topLinePunct w:val="0"/>
        <w:autoSpaceDE/>
        <w:autoSpaceDN/>
        <w:bidi w:val="0"/>
        <w:adjustRightInd/>
        <w:spacing w:line="570" w:lineRule="exact"/>
        <w:ind w:left="2558" w:leftChars="304" w:hanging="1920" w:hangingChars="600"/>
        <w:jc w:val="left"/>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kern w:val="2"/>
          <w:sz w:val="32"/>
          <w:szCs w:val="32"/>
          <w:highlight w:val="none"/>
          <w:lang w:val="en-US" w:eastAsia="zh-CN" w:bidi="ar-SA"/>
        </w:rPr>
        <w:t>数量指标——</w:t>
      </w:r>
      <w:r>
        <w:rPr>
          <w:rFonts w:hint="eastAsia" w:ascii="仿宋_GB2312" w:hAnsi="仿宋_GB2312" w:eastAsia="仿宋_GB2312" w:cs="仿宋_GB2312"/>
          <w:sz w:val="32"/>
          <w:szCs w:val="32"/>
          <w:highlight w:val="none"/>
          <w:lang w:val="en-US" w:eastAsia="zh-CN"/>
        </w:rPr>
        <w:t>培育的苗木数量/基地管护面积/种质资源调查份数/制定苗木标准/参试材料</w:t>
      </w:r>
      <w:r>
        <w:rPr>
          <w:rFonts w:hint="eastAsia" w:ascii="仿宋_GB2312" w:hAnsi="仿宋_GB2312" w:eastAsia="仿宋_GB2312" w:cs="仿宋_GB2312"/>
          <w:color w:val="000000"/>
          <w:kern w:val="0"/>
          <w:sz w:val="32"/>
          <w:szCs w:val="32"/>
          <w:highlight w:val="none"/>
          <w:lang w:val="en-US" w:eastAsia="zh-CN"/>
        </w:rPr>
        <w:t>≥XX万株/亩/份/项/份。</w:t>
      </w:r>
    </w:p>
    <w:p>
      <w:pPr>
        <w:keepNext w:val="0"/>
        <w:keepLines w:val="0"/>
        <w:pageBreakBefore w:val="0"/>
        <w:widowControl/>
        <w:suppressLineNumbers w:val="0"/>
        <w:kinsoku/>
        <w:wordWrap/>
        <w:overflowPunct/>
        <w:topLinePunct w:val="0"/>
        <w:autoSpaceDE/>
        <w:autoSpaceDN/>
        <w:bidi w:val="0"/>
        <w:adjustRightInd/>
        <w:spacing w:line="570" w:lineRule="exact"/>
        <w:ind w:firstLine="640" w:firstLineChars="200"/>
        <w:jc w:val="left"/>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质量指标——培育的苗木质量  合格</w:t>
      </w:r>
    </w:p>
    <w:p>
      <w:pPr>
        <w:keepNext w:val="0"/>
        <w:keepLines w:val="0"/>
        <w:pageBreakBefore w:val="0"/>
        <w:widowControl/>
        <w:kinsoku/>
        <w:wordWrap/>
        <w:overflowPunct/>
        <w:topLinePunct w:val="0"/>
        <w:autoSpaceDE/>
        <w:autoSpaceDN/>
        <w:bidi w:val="0"/>
        <w:adjustRightInd/>
        <w:spacing w:line="57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质量指标——定植成活率≥85%。</w:t>
      </w:r>
    </w:p>
    <w:p>
      <w:pPr>
        <w:keepNext w:val="0"/>
        <w:keepLines w:val="0"/>
        <w:pageBreakBefore w:val="0"/>
        <w:widowControl/>
        <w:kinsoku/>
        <w:wordWrap/>
        <w:overflowPunct/>
        <w:topLinePunct w:val="0"/>
        <w:autoSpaceDE/>
        <w:autoSpaceDN/>
        <w:bidi w:val="0"/>
        <w:adjustRightInd/>
        <w:spacing w:line="570" w:lineRule="exact"/>
        <w:ind w:firstLine="640" w:firstLineChars="200"/>
        <w:jc w:val="left"/>
        <w:textAlignment w:val="auto"/>
        <w:rPr>
          <w:rFonts w:hint="eastAsia"/>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质量指标——标准制定符合地方要求  符合</w:t>
      </w:r>
    </w:p>
    <w:p>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其余指标根据实际情况填写。绩效目标设定应科学、合理、可量化、可考核。</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（二）实施成效分析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围绕生态效益、社会效益、经济效益以及可持续影响等四个方面，深入分析项目成效。涉及产业项目的，需体现具体产值、与村集体、农户等利益链接机制；涉及科研项目的，要深入分析科研成果效益等。</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七、保障措施</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jc w:val="both"/>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项目的组织机构是否健全，职责分工是否明确，管理机制是否顺畅并可持续运转，各项业务和财务管理制度是否健全，项目建成后运营措施是否清晰、合理，安全环境保护措施是否有针对性、有效性等。涉及需要科技支撑单位的项目，需重点说明选择该单位的理由、单位能提供的技术内容以及具体工作任务。</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八、必要的附件、附表、附图</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default"/>
          <w:sz w:val="32"/>
          <w:szCs w:val="32"/>
          <w:highlight w:val="none"/>
          <w:lang w:val="en-US" w:eastAsia="zh-CN"/>
        </w:rPr>
      </w:pPr>
      <w:r>
        <w:rPr>
          <w:rFonts w:hint="eastAsia" w:ascii="仿宋_GB2312" w:hAnsi="仿宋_GB2312" w:eastAsia="仿宋_GB2312" w:cs="仿宋_GB2312"/>
          <w:sz w:val="32"/>
          <w:szCs w:val="32"/>
          <w:highlight w:val="none"/>
          <w:lang w:val="en-US" w:eastAsia="zh-CN"/>
        </w:rPr>
        <w:t>需提供项目相关政策依据文件及必要图表。包括但不限于</w:t>
      </w:r>
      <w:r>
        <w:rPr>
          <w:rFonts w:hint="eastAsia" w:ascii="仿宋_GB2312" w:hAnsi="仿宋_GB2312" w:eastAsia="仿宋_GB2312" w:cs="仿宋_GB2312"/>
          <w:sz w:val="32"/>
          <w:szCs w:val="32"/>
          <w:highlight w:val="none"/>
        </w:rPr>
        <w:t>建设任务布局图</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val="en-US" w:eastAsia="zh-CN"/>
        </w:rPr>
        <w:t>造林作业设计表</w:t>
      </w:r>
      <w:r>
        <w:rPr>
          <w:rFonts w:hint="eastAsia" w:ascii="Times New Roman" w:hAnsi="Times New Roman" w:eastAsia="仿宋_GB2312" w:cs="Times New Roman"/>
          <w:sz w:val="32"/>
          <w:szCs w:val="32"/>
          <w:highlight w:val="none"/>
          <w:lang w:val="en-US" w:eastAsia="zh-CN"/>
        </w:rPr>
        <w:t>等</w:t>
      </w:r>
      <w:r>
        <w:rPr>
          <w:rFonts w:hint="eastAsia" w:ascii="仿宋_GB2312" w:hAnsi="仿宋_GB2312" w:eastAsia="仿宋_GB2312" w:cs="仿宋_GB2312"/>
          <w:sz w:val="32"/>
          <w:szCs w:val="32"/>
          <w:highlight w:val="none"/>
        </w:rPr>
        <w:t>。</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2106BF-1D00-46E7-A029-E19060A5543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00BC8F4-58D9-410D-9888-39E253729A0C}"/>
  </w:font>
  <w:font w:name="方正小标宋简体">
    <w:panose1 w:val="02010601030101010101"/>
    <w:charset w:val="86"/>
    <w:family w:val="auto"/>
    <w:pitch w:val="default"/>
    <w:sig w:usb0="00000001" w:usb1="080E0000" w:usb2="00000000" w:usb3="00000000" w:csb0="00040000" w:csb1="00000000"/>
    <w:embedRegular r:id="rId3" w:fontKey="{D5F8A7BC-DF5A-49F2-B56C-5DF68B2A55A7}"/>
  </w:font>
  <w:font w:name="方正仿宋_GB2312">
    <w:altName w:val="仿宋"/>
    <w:panose1 w:val="02000000000000000000"/>
    <w:charset w:val="86"/>
    <w:family w:val="auto"/>
    <w:pitch w:val="default"/>
    <w:sig w:usb0="00000000" w:usb1="00000000" w:usb2="00000000" w:usb3="00000000" w:csb0="00000000" w:csb1="00000000"/>
    <w:embedRegular r:id="rId4" w:fontKey="{304D88BE-E40D-48CA-95B6-99B8FE69C67F}"/>
  </w:font>
  <w:font w:name="仿宋_GB2312">
    <w:panose1 w:val="02010609030101010101"/>
    <w:charset w:val="86"/>
    <w:family w:val="auto"/>
    <w:pitch w:val="default"/>
    <w:sig w:usb0="00000001" w:usb1="080E0000" w:usb2="00000000" w:usb3="00000000" w:csb0="00040000" w:csb1="00000000"/>
    <w:embedRegular r:id="rId5" w:fontKey="{7B215273-1C79-40E8-9355-3FF226FA0FD5}"/>
  </w:font>
  <w:font w:name="楷体_GB2312">
    <w:panose1 w:val="02010609030101010101"/>
    <w:charset w:val="86"/>
    <w:family w:val="auto"/>
    <w:pitch w:val="default"/>
    <w:sig w:usb0="00000001" w:usb1="080E0000" w:usb2="00000000" w:usb3="00000000" w:csb0="00040000" w:csb1="00000000"/>
    <w:embedRegular r:id="rId6" w:fontKey="{DF512621-A2DC-4639-91DD-6A30DA337EB5}"/>
  </w:font>
  <w:font w:name="方正小标宋_GBK">
    <w:panose1 w:val="03000509000000000000"/>
    <w:charset w:val="86"/>
    <w:family w:val="auto"/>
    <w:pitch w:val="default"/>
    <w:sig w:usb0="00000001" w:usb1="080E0000" w:usb2="00000000" w:usb3="00000000" w:csb0="00040000" w:csb1="00000000"/>
    <w:embedRegular r:id="rId7" w:fontKey="{8EAEB962-584D-4604-9976-0D266BEA1F0F}"/>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0" distR="0" simplePos="0" relativeHeight="1024" behindDoc="0" locked="0" layoutInCell="1" allowOverlap="1">
              <wp:simplePos x="0" y="0"/>
              <wp:positionH relativeFrom="margin">
                <wp:align>outside</wp:align>
              </wp:positionH>
              <wp:positionV relativeFrom="paragraph">
                <wp:posOffset>-333375</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rPr>
                              <w:rFonts w:hint="eastAsia" w:ascii="宋体" w:hAnsi="宋体" w:eastAsia="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26.25pt;height:144pt;width:144pt;mso-position-horizontal:outside;mso-position-horizontal-relative:margin;mso-wrap-style:none;z-index:1024;mso-width-relative:page;mso-height-relative:page;" filled="f" stroked="f" coordsize="21600,21600" o:gfxdata="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brsYMdYAAAAIAQAADwAAAAAAAAABACAAAAAiAAAAZHJzL2Rvd25yZXYueG1sUEsBAhQAFAAA&#10;AAgAh07iQAR+Hmm4AQAAUAMAAA4AAAAAAAAAAQAgAAAAJQEAAGRycy9lMm9Eb2MueG1sUEsFBgAA&#10;AAAGAAYAWQEAAE8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4"/>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3"/>
      <w:numFmt w:val="chineseCounting"/>
      <w:suff w:val="nothing"/>
      <w:lvlText w:val="%1、"/>
      <w:lvlJc w:val="left"/>
      <w:pPr>
        <w:ind w:left="640" w:leftChars="0" w:firstLine="0" w:firstLineChars="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C30AD"/>
    <w:rsid w:val="41157A54"/>
    <w:rsid w:val="58942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rFonts w:ascii="Calibri" w:hAnsi="Calibri" w:eastAsia="宋体"/>
      <w:sz w:val="18"/>
      <w:szCs w:val="18"/>
    </w:rPr>
  </w:style>
  <w:style w:type="paragraph" w:styleId="3">
    <w:name w:val="Body Text Indent"/>
    <w:basedOn w:val="1"/>
    <w:qFormat/>
    <w:uiPriority w:val="0"/>
    <w:pPr>
      <w:spacing w:after="120"/>
      <w:ind w:left="420" w:left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3518</Words>
  <Characters>3700</Characters>
  <Paragraphs>145</Paragraphs>
  <TotalTime>25</TotalTime>
  <ScaleCrop>false</ScaleCrop>
  <LinksUpToDate>false</LinksUpToDate>
  <CharactersWithSpaces>3742</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2024-06-25T13:18:00Z</dcterms:created>
  <dc:creator>冯原</dc:creator>
  <cp:lastModifiedBy>Administrator</cp:lastModifiedBy>
  <cp:lastPrinted>2025-06-17T08:39:00Z</cp:lastPrinted>
  <dcterms:modified xsi:type="dcterms:W3CDTF">2025-06-30T04:09:25Z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762b1bdcd6d84a0db6238053b97f364a_23</vt:lpwstr>
  </property>
  <property fmtid="{D5CDD505-2E9C-101B-9397-08002B2CF9AE}" pid="4" name="KSOTemplateDocerSaveRecord">
    <vt:lpwstr>eyJoZGlkIjoiODljNDdkYTUyMDQzM2VkODRjNjVlNjRjZjMyOWE2OTEifQ==</vt:lpwstr>
  </property>
</Properties>
</file>